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71" w:type="dxa"/>
        <w:tblInd w:w="-5" w:type="dxa"/>
        <w:tblLook w:val="04A0" w:firstRow="1" w:lastRow="0" w:firstColumn="1" w:lastColumn="0" w:noHBand="0" w:noVBand="1"/>
      </w:tblPr>
      <w:tblGrid>
        <w:gridCol w:w="10671"/>
      </w:tblGrid>
      <w:tr w:rsidR="00984623" w:rsidRPr="00EF3086" w:rsidTr="00EF3086">
        <w:trPr>
          <w:trHeight w:val="437"/>
        </w:trPr>
        <w:tc>
          <w:tcPr>
            <w:tcW w:w="10671" w:type="dxa"/>
            <w:shd w:val="clear" w:color="auto" w:fill="BDD6EE" w:themeFill="accent1" w:themeFillTint="66"/>
          </w:tcPr>
          <w:p w:rsidR="00984623" w:rsidRDefault="004C55E7" w:rsidP="004E647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Intent, Implementation and Impact</w:t>
            </w:r>
            <w:r w:rsidR="00984623" w:rsidRPr="00EF3086">
              <w:rPr>
                <w:rFonts w:ascii="Century Gothic" w:hAnsi="Century Gothic"/>
                <w:b/>
                <w:sz w:val="36"/>
                <w:szCs w:val="36"/>
              </w:rPr>
              <w:t xml:space="preserve"> for </w:t>
            </w:r>
            <w:r w:rsidR="00E147A7">
              <w:rPr>
                <w:rFonts w:ascii="Century Gothic" w:hAnsi="Century Gothic"/>
                <w:b/>
                <w:sz w:val="36"/>
                <w:szCs w:val="36"/>
              </w:rPr>
              <w:t>RE</w:t>
            </w:r>
            <w:bookmarkStart w:id="0" w:name="_GoBack"/>
            <w:bookmarkEnd w:id="0"/>
          </w:p>
          <w:p w:rsidR="003455F4" w:rsidRPr="00EF3086" w:rsidRDefault="003455F4" w:rsidP="004E647F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Papyrus" w:hAnsi="Papyrus"/>
                <w:b/>
                <w:noProof/>
                <w:color w:val="0070C0"/>
                <w:sz w:val="52"/>
                <w:szCs w:val="52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674FA67" wp14:editId="50B6F1AC">
                  <wp:simplePos x="0" y="0"/>
                  <wp:positionH relativeFrom="column">
                    <wp:posOffset>2606675</wp:posOffset>
                  </wp:positionH>
                  <wp:positionV relativeFrom="paragraph">
                    <wp:posOffset>64770</wp:posOffset>
                  </wp:positionV>
                  <wp:extent cx="1483995" cy="1471930"/>
                  <wp:effectExtent l="0" t="0" r="1905" b="0"/>
                  <wp:wrapTight wrapText="bothSides">
                    <wp:wrapPolygon edited="0">
                      <wp:start x="0" y="0"/>
                      <wp:lineTo x="0" y="21246"/>
                      <wp:lineTo x="21350" y="21246"/>
                      <wp:lineTo x="2135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1471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4623" w:rsidRPr="00EF3086" w:rsidTr="004C55E7">
        <w:trPr>
          <w:trHeight w:val="699"/>
        </w:trPr>
        <w:tc>
          <w:tcPr>
            <w:tcW w:w="10671" w:type="dxa"/>
          </w:tcPr>
          <w:p w:rsidR="00A67B2E" w:rsidRDefault="004E7DE9" w:rsidP="003860F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Intent:</w:t>
            </w:r>
          </w:p>
          <w:p w:rsidR="00A67B2E" w:rsidRDefault="00A67B2E" w:rsidP="00A67B2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67B2E">
              <w:rPr>
                <w:rFonts w:ascii="Century Gothic" w:hAnsi="Century Gothic"/>
                <w:b/>
                <w:sz w:val="24"/>
                <w:szCs w:val="24"/>
              </w:rPr>
              <w:t>Religious education in a Church school should enable every child to flourish and to live life in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all its fullness. (John 10:10)</w:t>
            </w:r>
          </w:p>
          <w:p w:rsidR="00A67B2E" w:rsidRPr="00A67B2E" w:rsidRDefault="00A67B2E" w:rsidP="00A67B2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84623" w:rsidRDefault="00A67B2E" w:rsidP="00A67B2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  <w:r w:rsidRPr="00A67B2E">
              <w:rPr>
                <w:rFonts w:ascii="Century Gothic" w:hAnsi="Century Gothic"/>
                <w:i/>
                <w:sz w:val="24"/>
                <w:szCs w:val="24"/>
              </w:rPr>
              <w:t>It will help educate for dignity and respect encouraging all to live well together Such an approach is offered through a commitment to generous hospitality, being true to our underpinning faith, but with a deep respect for the integrity of other religious traditions (and worldviews) and for the religious freedom of each person.</w:t>
            </w:r>
            <w:r>
              <w:rPr>
                <w:rFonts w:ascii="Century Gothic" w:hAnsi="Century Gothic"/>
                <w:i/>
                <w:sz w:val="24"/>
                <w:szCs w:val="24"/>
              </w:rPr>
              <w:t>(1)</w:t>
            </w:r>
          </w:p>
          <w:p w:rsidR="00A67B2E" w:rsidRDefault="00A67B2E" w:rsidP="00A67B2E">
            <w:pPr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  <w:p w:rsidR="002A0C1A" w:rsidRPr="002A0C1A" w:rsidRDefault="002A0C1A" w:rsidP="002A0C1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A0C1A">
              <w:rPr>
                <w:rFonts w:ascii="Century Gothic" w:hAnsi="Century Gothic"/>
                <w:b/>
                <w:sz w:val="24"/>
                <w:szCs w:val="24"/>
              </w:rPr>
              <w:t>Our aims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and objectives</w:t>
            </w:r>
            <w:r w:rsidRPr="002A0C1A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  <w:p w:rsidR="002A0C1A" w:rsidRDefault="002A0C1A" w:rsidP="002A0C1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A0C1A">
              <w:rPr>
                <w:rFonts w:ascii="Century Gothic" w:hAnsi="Century Gothic"/>
                <w:b/>
                <w:sz w:val="24"/>
                <w:szCs w:val="24"/>
              </w:rPr>
              <w:t>To know about and understand Christianity as a diverse global living faith through the</w:t>
            </w:r>
            <w:r w:rsidRPr="002A0C1A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2A0C1A">
              <w:rPr>
                <w:rFonts w:ascii="Century Gothic" w:hAnsi="Century Gothic"/>
                <w:b/>
                <w:sz w:val="24"/>
                <w:szCs w:val="24"/>
              </w:rPr>
              <w:t>exploration of core beliefs using an approach that critically engages with biblical text.</w:t>
            </w:r>
          </w:p>
          <w:p w:rsidR="002A0C1A" w:rsidRDefault="002A0C1A" w:rsidP="002A0C1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A0C1A">
              <w:rPr>
                <w:rFonts w:ascii="Century Gothic" w:hAnsi="Century Gothic"/>
                <w:b/>
                <w:sz w:val="24"/>
                <w:szCs w:val="24"/>
              </w:rPr>
              <w:t>To gain knowledge and understanding of a range of religi</w:t>
            </w:r>
            <w:r w:rsidRPr="002A0C1A">
              <w:rPr>
                <w:rFonts w:ascii="Century Gothic" w:hAnsi="Century Gothic"/>
                <w:b/>
                <w:sz w:val="24"/>
                <w:szCs w:val="24"/>
              </w:rPr>
              <w:t xml:space="preserve">ons and worldviews appreciating </w:t>
            </w:r>
            <w:r w:rsidRPr="002A0C1A">
              <w:rPr>
                <w:rFonts w:ascii="Century Gothic" w:hAnsi="Century Gothic"/>
                <w:b/>
                <w:sz w:val="24"/>
                <w:szCs w:val="24"/>
              </w:rPr>
              <w:t>diversity, continuity and change within the religions and worldviews being studied.</w:t>
            </w:r>
          </w:p>
          <w:p w:rsidR="002A0C1A" w:rsidRDefault="002A0C1A" w:rsidP="002A0C1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A0C1A">
              <w:rPr>
                <w:rFonts w:ascii="Century Gothic" w:hAnsi="Century Gothic"/>
                <w:b/>
                <w:sz w:val="24"/>
                <w:szCs w:val="24"/>
              </w:rPr>
              <w:t>To engage with challenging questions of meaning and pu</w:t>
            </w:r>
            <w:r w:rsidRPr="002A0C1A">
              <w:rPr>
                <w:rFonts w:ascii="Century Gothic" w:hAnsi="Century Gothic"/>
                <w:b/>
                <w:sz w:val="24"/>
                <w:szCs w:val="24"/>
              </w:rPr>
              <w:t xml:space="preserve">rpose raised by human existence </w:t>
            </w:r>
            <w:r w:rsidRPr="002A0C1A">
              <w:rPr>
                <w:rFonts w:ascii="Century Gothic" w:hAnsi="Century Gothic"/>
                <w:b/>
                <w:sz w:val="24"/>
                <w:szCs w:val="24"/>
              </w:rPr>
              <w:t>and experience.</w:t>
            </w:r>
          </w:p>
          <w:p w:rsidR="002A0C1A" w:rsidRDefault="002A0C1A" w:rsidP="002A0C1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A0C1A">
              <w:rPr>
                <w:rFonts w:ascii="Century Gothic" w:hAnsi="Century Gothic"/>
                <w:b/>
                <w:sz w:val="24"/>
                <w:szCs w:val="24"/>
              </w:rPr>
              <w:t xml:space="preserve">To recognise the concept of religion and its continuing </w:t>
            </w:r>
            <w:r w:rsidRPr="002A0C1A">
              <w:rPr>
                <w:rFonts w:ascii="Century Gothic" w:hAnsi="Century Gothic"/>
                <w:b/>
                <w:sz w:val="24"/>
                <w:szCs w:val="24"/>
              </w:rPr>
              <w:t xml:space="preserve">influence on Britain’s cultural </w:t>
            </w:r>
            <w:r w:rsidRPr="002A0C1A">
              <w:rPr>
                <w:rFonts w:ascii="Century Gothic" w:hAnsi="Century Gothic"/>
                <w:b/>
                <w:sz w:val="24"/>
                <w:szCs w:val="24"/>
              </w:rPr>
              <w:t>heritage and in the lives of individuals and societies in different times, cultures and places.</w:t>
            </w:r>
          </w:p>
          <w:p w:rsidR="002A0C1A" w:rsidRPr="002A0C1A" w:rsidRDefault="002A0C1A" w:rsidP="002A0C1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A0C1A">
              <w:rPr>
                <w:rFonts w:ascii="Century Gothic" w:hAnsi="Century Gothic"/>
                <w:b/>
                <w:sz w:val="24"/>
                <w:szCs w:val="24"/>
              </w:rPr>
              <w:t>To explore their own religious, spiritual and philosoph</w:t>
            </w:r>
            <w:r w:rsidRPr="002A0C1A">
              <w:rPr>
                <w:rFonts w:ascii="Century Gothic" w:hAnsi="Century Gothic"/>
                <w:b/>
                <w:sz w:val="24"/>
                <w:szCs w:val="24"/>
              </w:rPr>
              <w:t xml:space="preserve">ical ways living, believing and </w:t>
            </w:r>
            <w:r w:rsidRPr="002A0C1A">
              <w:rPr>
                <w:rFonts w:ascii="Century Gothic" w:hAnsi="Century Gothic"/>
                <w:b/>
                <w:sz w:val="24"/>
                <w:szCs w:val="24"/>
              </w:rPr>
              <w:t>thinking.</w:t>
            </w:r>
          </w:p>
          <w:p w:rsidR="002A0C1A" w:rsidRPr="002A0C1A" w:rsidRDefault="002A0C1A" w:rsidP="002A0C1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C7C66" w:rsidRDefault="005C7C66" w:rsidP="005C7C6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For the school Christian vision and core values to be displayed in all teaching and learning of RE.</w:t>
            </w:r>
          </w:p>
          <w:p w:rsidR="005C7C66" w:rsidRDefault="005C7C66" w:rsidP="005C7C6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C7C66">
              <w:rPr>
                <w:rFonts w:ascii="Century Gothic" w:hAnsi="Century Gothic"/>
                <w:sz w:val="24"/>
                <w:szCs w:val="24"/>
              </w:rPr>
              <w:t>Promote spiritual, moral, cultural, mental and physical developm</w:t>
            </w:r>
            <w:r w:rsidRPr="005C7C66">
              <w:rPr>
                <w:rFonts w:ascii="Century Gothic" w:hAnsi="Century Gothic"/>
                <w:sz w:val="24"/>
                <w:szCs w:val="24"/>
              </w:rPr>
              <w:t xml:space="preserve">ent of all pupils. Develop high </w:t>
            </w:r>
            <w:r w:rsidRPr="005C7C66">
              <w:rPr>
                <w:rFonts w:ascii="Century Gothic" w:hAnsi="Century Gothic"/>
                <w:sz w:val="24"/>
                <w:szCs w:val="24"/>
              </w:rPr>
              <w:t>standards of discipline, social awareness and consideration for</w:t>
            </w:r>
            <w:r w:rsidRPr="005C7C66">
              <w:rPr>
                <w:rFonts w:ascii="Century Gothic" w:hAnsi="Century Gothic"/>
                <w:sz w:val="24"/>
                <w:szCs w:val="24"/>
              </w:rPr>
              <w:t xml:space="preserve"> others. Encourage all children </w:t>
            </w:r>
            <w:r w:rsidRPr="005C7C66">
              <w:rPr>
                <w:rFonts w:ascii="Century Gothic" w:hAnsi="Century Gothic"/>
                <w:sz w:val="24"/>
                <w:szCs w:val="24"/>
              </w:rPr>
              <w:t>to take responsibility for their actions and choices.</w:t>
            </w:r>
          </w:p>
          <w:p w:rsidR="005C7C66" w:rsidRDefault="005C7C66" w:rsidP="005C7C6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C7C66">
              <w:rPr>
                <w:rFonts w:ascii="Century Gothic" w:hAnsi="Century Gothic"/>
                <w:sz w:val="24"/>
                <w:szCs w:val="24"/>
              </w:rPr>
              <w:t>Subject leader has a clear u</w:t>
            </w:r>
            <w:r>
              <w:rPr>
                <w:rFonts w:ascii="Century Gothic" w:hAnsi="Century Gothic"/>
                <w:sz w:val="24"/>
                <w:szCs w:val="24"/>
              </w:rPr>
              <w:t>nderstanding of the Diocese</w:t>
            </w:r>
            <w:r w:rsidRPr="005C7C66">
              <w:rPr>
                <w:rFonts w:ascii="Century Gothic" w:hAnsi="Century Gothic"/>
                <w:sz w:val="24"/>
                <w:szCs w:val="24"/>
              </w:rPr>
              <w:t xml:space="preserve"> RE syllabus and </w:t>
            </w:r>
            <w:r w:rsidR="0015533C">
              <w:rPr>
                <w:rFonts w:ascii="Century Gothic" w:hAnsi="Century Gothic"/>
                <w:sz w:val="24"/>
                <w:szCs w:val="24"/>
              </w:rPr>
              <w:t xml:space="preserve">Understanding and </w:t>
            </w:r>
            <w:r w:rsidRPr="005C7C66">
              <w:rPr>
                <w:rFonts w:ascii="Century Gothic" w:hAnsi="Century Gothic"/>
                <w:sz w:val="24"/>
                <w:szCs w:val="24"/>
              </w:rPr>
              <w:t>ensures that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C7C66">
              <w:rPr>
                <w:rFonts w:ascii="Century Gothic" w:hAnsi="Century Gothic"/>
                <w:sz w:val="24"/>
                <w:szCs w:val="24"/>
              </w:rPr>
              <w:t>the curriculum meets national requirements. The subject leader ensure that all teachers are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C7C66">
              <w:rPr>
                <w:rFonts w:ascii="Century Gothic" w:hAnsi="Century Gothic"/>
                <w:sz w:val="24"/>
                <w:szCs w:val="24"/>
              </w:rPr>
              <w:t>aware of expectations for their own year groups and know starting and end points; enable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C7C66">
              <w:rPr>
                <w:rFonts w:ascii="Century Gothic" w:hAnsi="Century Gothic"/>
                <w:sz w:val="24"/>
                <w:szCs w:val="24"/>
              </w:rPr>
              <w:t>pupils to build their knowledge and skills towards the agreed end points.</w:t>
            </w:r>
          </w:p>
          <w:p w:rsidR="005C7C66" w:rsidRDefault="005C7C66" w:rsidP="005C7C6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C7C66">
              <w:rPr>
                <w:rFonts w:ascii="Century Gothic" w:hAnsi="Century Gothic"/>
                <w:sz w:val="24"/>
                <w:szCs w:val="24"/>
              </w:rPr>
              <w:t>Ensure that teachers provide progressions and sequential learning throughout the school,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C7C66">
              <w:rPr>
                <w:rFonts w:ascii="Century Gothic" w:hAnsi="Century Gothic"/>
                <w:sz w:val="24"/>
                <w:szCs w:val="24"/>
              </w:rPr>
              <w:t>where children can build upon previous knowledge. This includes considering how the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C7C66">
              <w:rPr>
                <w:rFonts w:ascii="Century Gothic" w:hAnsi="Century Gothic"/>
                <w:sz w:val="24"/>
                <w:szCs w:val="24"/>
              </w:rPr>
              <w:t>intended curriculum will address social disadvantage by addressing gaps in pupils’ knowledge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C7C66">
              <w:rPr>
                <w:rFonts w:ascii="Century Gothic" w:hAnsi="Century Gothic"/>
                <w:sz w:val="24"/>
                <w:szCs w:val="24"/>
              </w:rPr>
              <w:t>and skills.</w:t>
            </w:r>
          </w:p>
          <w:p w:rsidR="005C7C66" w:rsidRDefault="005C7C66" w:rsidP="005C7C6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C7C66">
              <w:rPr>
                <w:rFonts w:ascii="Century Gothic" w:hAnsi="Century Gothic"/>
                <w:sz w:val="24"/>
                <w:szCs w:val="24"/>
              </w:rPr>
              <w:t>The subject leader ensures the content is taught in a logical progression, systematically and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C7C66">
              <w:rPr>
                <w:rFonts w:ascii="Century Gothic" w:hAnsi="Century Gothic"/>
                <w:sz w:val="24"/>
                <w:szCs w:val="24"/>
              </w:rPr>
              <w:t>explicitly enough for all pupils to acquire the intended knowledge and skills</w:t>
            </w:r>
          </w:p>
          <w:p w:rsidR="005C7C66" w:rsidRPr="005C7C66" w:rsidRDefault="005C7C66" w:rsidP="005C7C6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C7C66">
              <w:rPr>
                <w:rFonts w:ascii="Century Gothic" w:hAnsi="Century Gothic"/>
                <w:sz w:val="24"/>
                <w:szCs w:val="24"/>
              </w:rPr>
              <w:lastRenderedPageBreak/>
              <w:t>Subject lead has ensured colleagues have access to appropriate resources to ensure delivery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C7C66">
              <w:rPr>
                <w:rFonts w:ascii="Century Gothic" w:hAnsi="Century Gothic"/>
                <w:sz w:val="24"/>
                <w:szCs w:val="24"/>
              </w:rPr>
              <w:t>of a rich and challenging new curriculum.</w:t>
            </w:r>
          </w:p>
        </w:tc>
      </w:tr>
      <w:tr w:rsidR="00984623" w:rsidRPr="00EF3086" w:rsidTr="003860FA">
        <w:trPr>
          <w:trHeight w:val="2273"/>
        </w:trPr>
        <w:tc>
          <w:tcPr>
            <w:tcW w:w="10671" w:type="dxa"/>
          </w:tcPr>
          <w:p w:rsidR="00984623" w:rsidRDefault="004E7DE9" w:rsidP="004E647F">
            <w:pPr>
              <w:rPr>
                <w:rFonts w:ascii="Century Gothic" w:hAnsi="Century Gothic"/>
                <w:sz w:val="24"/>
                <w:szCs w:val="24"/>
              </w:rPr>
            </w:pPr>
            <w:r w:rsidRPr="004E7DE9">
              <w:rPr>
                <w:rFonts w:ascii="Century Gothic" w:hAnsi="Century Gothic"/>
                <w:sz w:val="24"/>
                <w:szCs w:val="24"/>
              </w:rPr>
              <w:lastRenderedPageBreak/>
              <w:t>Implementation:</w:t>
            </w:r>
          </w:p>
          <w:p w:rsidR="00A67B2E" w:rsidRDefault="0015533C" w:rsidP="00A67B2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5533C">
              <w:rPr>
                <w:rFonts w:ascii="Century Gothic" w:hAnsi="Century Gothic"/>
                <w:sz w:val="24"/>
                <w:szCs w:val="24"/>
              </w:rPr>
              <w:t>Aim to deliver a curriculum that inspires enthusiasm for learning, where teachers have good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5533C">
              <w:rPr>
                <w:rFonts w:ascii="Century Gothic" w:hAnsi="Century Gothic"/>
                <w:sz w:val="24"/>
                <w:szCs w:val="24"/>
              </w:rPr>
              <w:t>subject knowledge of RE and that an environment is created to allow children to focus</w:t>
            </w:r>
            <w:r w:rsidR="00A67B2E">
              <w:t xml:space="preserve"> </w:t>
            </w:r>
            <w:r w:rsidR="00A67B2E" w:rsidRPr="00A67B2E">
              <w:rPr>
                <w:rFonts w:ascii="Century Gothic" w:hAnsi="Century Gothic"/>
                <w:sz w:val="24"/>
                <w:szCs w:val="24"/>
              </w:rPr>
              <w:t xml:space="preserve">Learning activities must provide fully for the needs of all pupils. </w:t>
            </w:r>
          </w:p>
          <w:p w:rsidR="002A0C1A" w:rsidRDefault="00A67B2E" w:rsidP="000B594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A0C1A">
              <w:rPr>
                <w:rFonts w:ascii="Century Gothic" w:hAnsi="Century Gothic"/>
                <w:sz w:val="24"/>
                <w:szCs w:val="24"/>
              </w:rPr>
              <w:t>Pupils should develop a wide range</w:t>
            </w:r>
            <w:r w:rsidR="002A0C1A" w:rsidRPr="002A0C1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0C1A">
              <w:rPr>
                <w:rFonts w:ascii="Century Gothic" w:hAnsi="Century Gothic"/>
                <w:sz w:val="24"/>
                <w:szCs w:val="24"/>
              </w:rPr>
              <w:t xml:space="preserve">of skills including enquiry, analysis, interpretation, evaluation and reflection. </w:t>
            </w:r>
          </w:p>
          <w:p w:rsidR="002A0C1A" w:rsidRDefault="00A67B2E" w:rsidP="000B594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A0C1A">
              <w:rPr>
                <w:rFonts w:ascii="Century Gothic" w:hAnsi="Century Gothic"/>
                <w:sz w:val="24"/>
                <w:szCs w:val="24"/>
              </w:rPr>
              <w:t>Pupils should have a</w:t>
            </w:r>
            <w:r w:rsidR="002A0C1A" w:rsidRPr="002A0C1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0C1A">
              <w:rPr>
                <w:rFonts w:ascii="Century Gothic" w:hAnsi="Century Gothic"/>
                <w:sz w:val="24"/>
                <w:szCs w:val="24"/>
              </w:rPr>
              <w:t>safe space to explore their own religious, spiritual and/or philosophical ways of seeing, living and</w:t>
            </w:r>
            <w:r w:rsidR="002A0C1A" w:rsidRPr="002A0C1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0C1A">
              <w:rPr>
                <w:rFonts w:ascii="Century Gothic" w:hAnsi="Century Gothic"/>
                <w:sz w:val="24"/>
                <w:szCs w:val="24"/>
              </w:rPr>
              <w:t xml:space="preserve">thinking, believing and belonging. </w:t>
            </w:r>
          </w:p>
          <w:p w:rsidR="00A67B2E" w:rsidRDefault="00A67B2E" w:rsidP="000B594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A0C1A">
              <w:rPr>
                <w:rFonts w:ascii="Century Gothic" w:hAnsi="Century Gothic"/>
                <w:sz w:val="24"/>
                <w:szCs w:val="24"/>
              </w:rPr>
              <w:t>They should have opportunities to engage in meaningful and</w:t>
            </w:r>
            <w:r w:rsidR="002A0C1A" w:rsidRPr="002A0C1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0C1A">
              <w:rPr>
                <w:rFonts w:ascii="Century Gothic" w:hAnsi="Century Gothic"/>
                <w:sz w:val="24"/>
                <w:szCs w:val="24"/>
              </w:rPr>
              <w:t>informed dialogue with those of all religions and worldviews.</w:t>
            </w:r>
            <w:r w:rsidR="0015533C" w:rsidRPr="002A0C1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15533C" w:rsidRPr="0015533C" w:rsidRDefault="0015533C" w:rsidP="0015533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5533C">
              <w:rPr>
                <w:rFonts w:ascii="Century Gothic" w:hAnsi="Century Gothic"/>
                <w:sz w:val="24"/>
                <w:szCs w:val="24"/>
              </w:rPr>
              <w:t>Through rigorous monitoring of the subject, the leader is confident that teaching within the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5533C">
              <w:rPr>
                <w:rFonts w:ascii="Century Gothic" w:hAnsi="Century Gothic"/>
                <w:sz w:val="24"/>
                <w:szCs w:val="24"/>
              </w:rPr>
              <w:t>subject is strong and promotes the acquisition of key knowledge, building on prior learning;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5533C">
              <w:rPr>
                <w:rFonts w:ascii="Century Gothic" w:hAnsi="Century Gothic"/>
                <w:sz w:val="24"/>
                <w:szCs w:val="24"/>
              </w:rPr>
              <w:t>through observations, work scrutiny and pupil discussions</w:t>
            </w:r>
          </w:p>
          <w:p w:rsidR="0015533C" w:rsidRDefault="0015533C" w:rsidP="0015533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5533C">
              <w:rPr>
                <w:rFonts w:ascii="Century Gothic" w:hAnsi="Century Gothic"/>
                <w:sz w:val="24"/>
                <w:szCs w:val="24"/>
              </w:rPr>
              <w:t>The subject leader ensures they provide appropriate CPD, providing up to date messages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5533C">
              <w:rPr>
                <w:rFonts w:ascii="Century Gothic" w:hAnsi="Century Gothic"/>
                <w:sz w:val="24"/>
                <w:szCs w:val="24"/>
              </w:rPr>
              <w:t>from the Diocese</w:t>
            </w:r>
            <w:r w:rsidRPr="0015533C">
              <w:rPr>
                <w:rFonts w:ascii="Century Gothic" w:hAnsi="Century Gothic"/>
                <w:sz w:val="24"/>
                <w:szCs w:val="24"/>
              </w:rPr>
              <w:t>, part</w:t>
            </w:r>
            <w:r>
              <w:rPr>
                <w:rFonts w:ascii="Century Gothic" w:hAnsi="Century Gothic"/>
                <w:sz w:val="24"/>
                <w:szCs w:val="24"/>
              </w:rPr>
              <w:t>icularly in line with the s</w:t>
            </w:r>
            <w:r w:rsidRPr="0015533C">
              <w:rPr>
                <w:rFonts w:ascii="Century Gothic" w:hAnsi="Century Gothic"/>
                <w:sz w:val="24"/>
                <w:szCs w:val="24"/>
              </w:rPr>
              <w:t>yllabus and leading professional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5533C">
              <w:rPr>
                <w:rFonts w:ascii="Century Gothic" w:hAnsi="Century Gothic"/>
                <w:sz w:val="24"/>
                <w:szCs w:val="24"/>
              </w:rPr>
              <w:t>development, providing guidance and support to colleagues;</w:t>
            </w:r>
          </w:p>
          <w:p w:rsidR="0015533C" w:rsidRDefault="0015533C" w:rsidP="0015533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5533C">
              <w:rPr>
                <w:rFonts w:ascii="Century Gothic" w:hAnsi="Century Gothic"/>
                <w:sz w:val="24"/>
                <w:szCs w:val="24"/>
              </w:rPr>
              <w:t>The subject leader will oversee assessment and will use it well to see how teachers check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5533C">
              <w:rPr>
                <w:rFonts w:ascii="Century Gothic" w:hAnsi="Century Gothic"/>
                <w:sz w:val="24"/>
                <w:szCs w:val="24"/>
              </w:rPr>
              <w:t>understanding, inform future teaching, ensure yearly end points have been achieved and hold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5533C">
              <w:rPr>
                <w:rFonts w:ascii="Century Gothic" w:hAnsi="Century Gothic"/>
                <w:sz w:val="24"/>
                <w:szCs w:val="24"/>
              </w:rPr>
              <w:t>teachers to account.</w:t>
            </w:r>
          </w:p>
          <w:p w:rsidR="0015533C" w:rsidRDefault="0015533C" w:rsidP="0015533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5533C">
              <w:rPr>
                <w:rFonts w:ascii="Century Gothic" w:hAnsi="Century Gothic"/>
                <w:sz w:val="24"/>
                <w:szCs w:val="24"/>
              </w:rPr>
              <w:t xml:space="preserve">Weekly teaching of RE is </w:t>
            </w:r>
            <w:r w:rsidRPr="0015533C">
              <w:rPr>
                <w:rFonts w:ascii="Century Gothic" w:hAnsi="Century Gothic"/>
                <w:sz w:val="24"/>
                <w:szCs w:val="24"/>
              </w:rPr>
              <w:t>non-negotiable</w:t>
            </w:r>
            <w:r w:rsidRPr="0015533C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15533C" w:rsidRPr="0015533C" w:rsidRDefault="0015533C" w:rsidP="0015533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</w:t>
            </w:r>
            <w:r w:rsidRPr="0015533C">
              <w:rPr>
                <w:rFonts w:ascii="Century Gothic" w:hAnsi="Century Gothic"/>
                <w:sz w:val="24"/>
                <w:szCs w:val="24"/>
              </w:rPr>
              <w:t>nclusion of reading ext</w:t>
            </w:r>
            <w:r>
              <w:rPr>
                <w:rFonts w:ascii="Century Gothic" w:hAnsi="Century Gothic"/>
                <w:sz w:val="24"/>
                <w:szCs w:val="24"/>
              </w:rPr>
              <w:t>racts from religious texts</w:t>
            </w:r>
            <w:r w:rsidRPr="0015533C">
              <w:rPr>
                <w:rFonts w:ascii="Century Gothic" w:hAnsi="Century Gothic"/>
                <w:sz w:val="24"/>
                <w:szCs w:val="24"/>
              </w:rPr>
              <w:t xml:space="preserve"> to improve reading skills.</w:t>
            </w:r>
          </w:p>
          <w:p w:rsidR="0015533C" w:rsidRDefault="0015533C" w:rsidP="0015533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5533C">
              <w:rPr>
                <w:rFonts w:ascii="Century Gothic" w:hAnsi="Century Gothic"/>
                <w:sz w:val="24"/>
                <w:szCs w:val="24"/>
              </w:rPr>
              <w:t>The subject leader ensures they are making best use of financial and human resources to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5533C">
              <w:rPr>
                <w:rFonts w:ascii="Century Gothic" w:hAnsi="Century Gothic"/>
                <w:sz w:val="24"/>
                <w:szCs w:val="24"/>
              </w:rPr>
              <w:t>impact on standards;</w:t>
            </w:r>
          </w:p>
          <w:p w:rsidR="0015533C" w:rsidRDefault="0015533C" w:rsidP="0015533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5533C">
              <w:rPr>
                <w:rFonts w:ascii="Century Gothic" w:hAnsi="Century Gothic"/>
                <w:sz w:val="24"/>
                <w:szCs w:val="24"/>
              </w:rPr>
              <w:t>Through work with the school council, the subject lead ensures the subject is promoted</w:t>
            </w:r>
          </w:p>
          <w:p w:rsidR="0015533C" w:rsidRPr="0015533C" w:rsidRDefault="0015533C" w:rsidP="0015533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5533C">
              <w:rPr>
                <w:rFonts w:ascii="Century Gothic" w:hAnsi="Century Gothic"/>
                <w:sz w:val="24"/>
                <w:szCs w:val="24"/>
              </w:rPr>
              <w:t>The subject leader,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alongside the support of the Diocese</w:t>
            </w:r>
            <w:r w:rsidRPr="0015533C">
              <w:rPr>
                <w:rFonts w:ascii="Century Gothic" w:hAnsi="Century Gothic"/>
                <w:sz w:val="24"/>
                <w:szCs w:val="24"/>
              </w:rPr>
              <w:t xml:space="preserve"> will continually review the schemes of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5533C">
              <w:rPr>
                <w:rFonts w:ascii="Century Gothic" w:hAnsi="Century Gothic"/>
                <w:sz w:val="24"/>
                <w:szCs w:val="24"/>
              </w:rPr>
              <w:t>work and the other long-term planning</w:t>
            </w:r>
          </w:p>
        </w:tc>
      </w:tr>
      <w:tr w:rsidR="00984623" w:rsidRPr="00EF3086" w:rsidTr="003860FA">
        <w:trPr>
          <w:trHeight w:val="1606"/>
        </w:trPr>
        <w:tc>
          <w:tcPr>
            <w:tcW w:w="10671" w:type="dxa"/>
          </w:tcPr>
          <w:p w:rsidR="00984623" w:rsidRDefault="004E7DE9" w:rsidP="003860F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Impact:</w:t>
            </w:r>
          </w:p>
          <w:p w:rsidR="002A0C1A" w:rsidRDefault="002A0C1A" w:rsidP="004C55E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Delivery of RE at Bridgemere allows all children to develop their ow</w:t>
            </w:r>
            <w:r w:rsidR="004C55E7">
              <w:rPr>
                <w:rFonts w:ascii="Century Gothic" w:hAnsi="Century Gothic"/>
                <w:sz w:val="24"/>
                <w:szCs w:val="24"/>
              </w:rPr>
              <w:t>n faith,</w:t>
            </w:r>
            <w:r w:rsidR="004C55E7">
              <w:t xml:space="preserve"> </w:t>
            </w:r>
            <w:r w:rsidR="004C55E7" w:rsidRPr="004C55E7">
              <w:rPr>
                <w:rFonts w:ascii="Century Gothic" w:hAnsi="Century Gothic"/>
                <w:sz w:val="24"/>
                <w:szCs w:val="24"/>
              </w:rPr>
              <w:t>who are tolerant of all faiths</w:t>
            </w:r>
            <w:r w:rsidR="004C55E7">
              <w:rPr>
                <w:rFonts w:ascii="Century Gothic" w:hAnsi="Century Gothic"/>
                <w:sz w:val="24"/>
                <w:szCs w:val="24"/>
              </w:rPr>
              <w:t>, and display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the school vision and core values.</w:t>
            </w:r>
            <w:r w:rsidR="004C55E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4C55E7" w:rsidRPr="004C55E7" w:rsidRDefault="002A0C1A" w:rsidP="004C55E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It will lead to children who display core character </w:t>
            </w:r>
            <w:r w:rsidR="004C55E7">
              <w:rPr>
                <w:rFonts w:ascii="Century Gothic" w:hAnsi="Century Gothic"/>
                <w:sz w:val="24"/>
                <w:szCs w:val="24"/>
              </w:rPr>
              <w:t xml:space="preserve">civic, moral and performance </w:t>
            </w:r>
            <w:r>
              <w:rPr>
                <w:rFonts w:ascii="Century Gothic" w:hAnsi="Century Gothic"/>
                <w:sz w:val="24"/>
                <w:szCs w:val="24"/>
              </w:rPr>
              <w:t>virtues</w:t>
            </w:r>
            <w:r w:rsidR="004C55E7">
              <w:rPr>
                <w:rFonts w:ascii="Century Gothic" w:hAnsi="Century Gothic"/>
                <w:sz w:val="24"/>
                <w:szCs w:val="24"/>
              </w:rPr>
              <w:t>; service, citizenship, service, courage, compassions, honesty, resilience, creativity and determination.</w:t>
            </w:r>
          </w:p>
          <w:p w:rsidR="0015533C" w:rsidRPr="002A0C1A" w:rsidRDefault="0015533C" w:rsidP="001553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A0C1A">
              <w:rPr>
                <w:rFonts w:ascii="Century Gothic" w:hAnsi="Century Gothic"/>
                <w:sz w:val="24"/>
                <w:szCs w:val="24"/>
              </w:rPr>
              <w:t>That children will be ready to succeed in their next transitional points.</w:t>
            </w:r>
          </w:p>
          <w:p w:rsidR="0015533C" w:rsidRPr="002A0C1A" w:rsidRDefault="0015533C" w:rsidP="001553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A0C1A">
              <w:rPr>
                <w:rFonts w:ascii="Century Gothic" w:hAnsi="Century Gothic"/>
                <w:sz w:val="24"/>
                <w:szCs w:val="24"/>
              </w:rPr>
              <w:t>Through close monitoring, the effectiveness of teaching has a positive impact on learning and</w:t>
            </w:r>
            <w:r w:rsidR="002A0C1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0C1A">
              <w:rPr>
                <w:rFonts w:ascii="Century Gothic" w:hAnsi="Century Gothic"/>
                <w:sz w:val="24"/>
                <w:szCs w:val="24"/>
              </w:rPr>
              <w:t>standards;</w:t>
            </w:r>
          </w:p>
          <w:p w:rsidR="002A0C1A" w:rsidRDefault="0015533C" w:rsidP="001553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A0C1A">
              <w:rPr>
                <w:rFonts w:ascii="Century Gothic" w:hAnsi="Century Gothic"/>
                <w:sz w:val="24"/>
                <w:szCs w:val="24"/>
              </w:rPr>
              <w:t>The subject lead has an evidence file showing first-hand evidence of how pupils are doing,</w:t>
            </w:r>
            <w:r w:rsidR="002A0C1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0C1A">
              <w:rPr>
                <w:rFonts w:ascii="Century Gothic" w:hAnsi="Century Gothic"/>
                <w:sz w:val="24"/>
                <w:szCs w:val="24"/>
              </w:rPr>
              <w:t xml:space="preserve">drawing together evidence from the interviews, observations, work </w:t>
            </w:r>
            <w:proofErr w:type="spellStart"/>
            <w:r w:rsidRPr="002A0C1A">
              <w:rPr>
                <w:rFonts w:ascii="Century Gothic" w:hAnsi="Century Gothic"/>
                <w:sz w:val="24"/>
                <w:szCs w:val="24"/>
              </w:rPr>
              <w:t>scrutinies</w:t>
            </w:r>
            <w:proofErr w:type="spellEnd"/>
            <w:r w:rsidRPr="002A0C1A">
              <w:rPr>
                <w:rFonts w:ascii="Century Gothic" w:hAnsi="Century Gothic"/>
                <w:sz w:val="24"/>
                <w:szCs w:val="24"/>
              </w:rPr>
              <w:t xml:space="preserve"> and</w:t>
            </w:r>
            <w:r w:rsidR="002A0C1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0C1A">
              <w:rPr>
                <w:rFonts w:ascii="Century Gothic" w:hAnsi="Century Gothic"/>
                <w:sz w:val="24"/>
                <w:szCs w:val="24"/>
              </w:rPr>
              <w:t>documentary review</w:t>
            </w:r>
          </w:p>
          <w:p w:rsidR="0015533C" w:rsidRPr="002A0C1A" w:rsidRDefault="0015533C" w:rsidP="0015533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2A0C1A">
              <w:rPr>
                <w:rFonts w:ascii="Century Gothic" w:hAnsi="Century Gothic"/>
                <w:sz w:val="24"/>
                <w:szCs w:val="24"/>
              </w:rPr>
              <w:t>The subject lead has successfully evaluated and summarised all aspects of the subject to</w:t>
            </w:r>
            <w:r w:rsidR="002A0C1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A0C1A">
              <w:rPr>
                <w:rFonts w:ascii="Century Gothic" w:hAnsi="Century Gothic"/>
                <w:sz w:val="24"/>
                <w:szCs w:val="24"/>
              </w:rPr>
              <w:t>define next steps for improvement from their action plan.</w:t>
            </w:r>
          </w:p>
        </w:tc>
      </w:tr>
    </w:tbl>
    <w:p w:rsidR="00CC14DF" w:rsidRDefault="00CC14DF">
      <w:pPr>
        <w:rPr>
          <w:rFonts w:ascii="Century Gothic" w:hAnsi="Century Gothic"/>
        </w:rPr>
      </w:pPr>
    </w:p>
    <w:p w:rsidR="00A67B2E" w:rsidRPr="00A67B2E" w:rsidRDefault="00A67B2E" w:rsidP="00A67B2E">
      <w:pPr>
        <w:pStyle w:val="ListParagraph"/>
        <w:numPr>
          <w:ilvl w:val="0"/>
          <w:numId w:val="8"/>
        </w:numPr>
        <w:rPr>
          <w:rFonts w:ascii="Century Gothic" w:hAnsi="Century Gothic"/>
        </w:rPr>
      </w:pPr>
      <w:r w:rsidRPr="00A67B2E">
        <w:rPr>
          <w:rFonts w:ascii="Century Gothic" w:hAnsi="Century Gothic"/>
        </w:rPr>
        <w:t xml:space="preserve">The Church of England Education Office, Church of England Vision for Education: Deeply Christian, Serving the Common Good. (The Church of England Education Office, 2016), available at </w:t>
      </w:r>
      <w:hyperlink r:id="rId6" w:history="1">
        <w:r w:rsidRPr="00723929">
          <w:rPr>
            <w:rStyle w:val="Hyperlink"/>
            <w:rFonts w:ascii="Century Gothic" w:hAnsi="Century Gothic"/>
          </w:rPr>
          <w:t>https://www.churchofengland.org/more/education-and-schools/vision-education</w:t>
        </w:r>
      </w:hyperlink>
      <w:r>
        <w:rPr>
          <w:rFonts w:ascii="Century Gothic" w:hAnsi="Century Gothic"/>
        </w:rPr>
        <w:t xml:space="preserve"> </w:t>
      </w:r>
    </w:p>
    <w:sectPr w:rsidR="00A67B2E" w:rsidRPr="00A67B2E" w:rsidSect="009846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BD6"/>
    <w:multiLevelType w:val="hybridMultilevel"/>
    <w:tmpl w:val="CA941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440F"/>
    <w:multiLevelType w:val="hybridMultilevel"/>
    <w:tmpl w:val="55507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E31"/>
    <w:multiLevelType w:val="hybridMultilevel"/>
    <w:tmpl w:val="1870E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12F5"/>
    <w:multiLevelType w:val="hybridMultilevel"/>
    <w:tmpl w:val="F5C4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A3ACB"/>
    <w:multiLevelType w:val="hybridMultilevel"/>
    <w:tmpl w:val="61A46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0079C"/>
    <w:multiLevelType w:val="hybridMultilevel"/>
    <w:tmpl w:val="BF140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56AD7"/>
    <w:multiLevelType w:val="hybridMultilevel"/>
    <w:tmpl w:val="45428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64A9B"/>
    <w:multiLevelType w:val="hybridMultilevel"/>
    <w:tmpl w:val="D1E60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C0EC8"/>
    <w:multiLevelType w:val="hybridMultilevel"/>
    <w:tmpl w:val="91168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97F11"/>
    <w:multiLevelType w:val="hybridMultilevel"/>
    <w:tmpl w:val="1CE8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23"/>
    <w:rsid w:val="0015533C"/>
    <w:rsid w:val="00272A00"/>
    <w:rsid w:val="002A0C1A"/>
    <w:rsid w:val="003455F4"/>
    <w:rsid w:val="003860FA"/>
    <w:rsid w:val="004C55E7"/>
    <w:rsid w:val="004E7DE9"/>
    <w:rsid w:val="005C7C66"/>
    <w:rsid w:val="006B3AC4"/>
    <w:rsid w:val="007677A5"/>
    <w:rsid w:val="00984623"/>
    <w:rsid w:val="00A67B2E"/>
    <w:rsid w:val="00CC14DF"/>
    <w:rsid w:val="00E147A7"/>
    <w:rsid w:val="00E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166AB"/>
  <w15:chartTrackingRefBased/>
  <w15:docId w15:val="{3A2083A5-749D-4306-AF06-A6AA0B61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62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rchofengland.org/more/education-and-schools/vision-educa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sch8753543</cp:lastModifiedBy>
  <cp:revision>2</cp:revision>
  <dcterms:created xsi:type="dcterms:W3CDTF">2021-11-23T13:23:00Z</dcterms:created>
  <dcterms:modified xsi:type="dcterms:W3CDTF">2021-11-23T13:23:00Z</dcterms:modified>
</cp:coreProperties>
</file>